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7FAD71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黑体_GBK" w:hAnsi="方正黑体_GBK" w:eastAsia="方正黑体_GBK" w:cs="方正黑体_GBK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sz w:val="32"/>
          <w:szCs w:val="32"/>
          <w:lang w:val="en-US" w:eastAsia="zh-CN"/>
        </w:rPr>
        <w:t>附件3</w:t>
      </w:r>
    </w:p>
    <w:p w14:paraId="3CAE541B">
      <w:pPr>
        <w:pStyle w:val="5"/>
        <w:snapToGrid w:val="0"/>
        <w:spacing w:before="0" w:after="0" w:line="240" w:lineRule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sz w:val="44"/>
          <w:szCs w:val="44"/>
          <w:lang w:val="en-US" w:eastAsia="zh-CN"/>
        </w:rPr>
      </w:pPr>
    </w:p>
    <w:p w14:paraId="603D8EB8">
      <w:pPr>
        <w:pStyle w:val="5"/>
        <w:snapToGrid w:val="0"/>
        <w:spacing w:before="0" w:after="0" w:line="240" w:lineRule="auto"/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i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sz w:val="44"/>
          <w:szCs w:val="44"/>
          <w:lang w:val="en-US" w:eastAsia="zh-CN"/>
        </w:rPr>
        <w:t>报价单</w:t>
      </w:r>
      <w:bookmarkStart w:id="0" w:name="_GoBack"/>
      <w:bookmarkEnd w:id="0"/>
    </w:p>
    <w:p w14:paraId="6E02AF32">
      <w:pPr>
        <w:pStyle w:val="2"/>
        <w:rPr>
          <w:rFonts w:hint="default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sz w:val="28"/>
          <w:szCs w:val="28"/>
          <w:lang w:val="en-US" w:eastAsia="zh-CN"/>
        </w:rPr>
        <w:t>填表单位：（加盖单位公章）</w:t>
      </w:r>
      <w:r>
        <w:rPr>
          <w:rFonts w:hint="eastAsia" w:ascii="方正仿宋_GBK" w:hAnsi="方正仿宋_GBK" w:eastAsia="方正仿宋_GBK" w:cs="方正仿宋_GBK"/>
          <w:i w:val="0"/>
          <w:iCs w:val="0"/>
          <w:sz w:val="28"/>
          <w:szCs w:val="28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i w:val="0"/>
          <w:iCs w:val="0"/>
          <w:sz w:val="28"/>
          <w:szCs w:val="28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i w:val="0"/>
          <w:iCs w:val="0"/>
          <w:sz w:val="28"/>
          <w:szCs w:val="28"/>
          <w:lang w:val="en-US" w:eastAsia="zh-CN"/>
        </w:rPr>
        <w:t xml:space="preserve">   填表日期：    年   月   日</w:t>
      </w:r>
    </w:p>
    <w:tbl>
      <w:tblPr>
        <w:tblStyle w:val="6"/>
        <w:tblW w:w="98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1049"/>
        <w:gridCol w:w="4493"/>
        <w:gridCol w:w="959"/>
        <w:gridCol w:w="794"/>
        <w:gridCol w:w="1885"/>
      </w:tblGrid>
      <w:tr w14:paraId="2A778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AF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66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12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规格配置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E2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70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6F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价格（元）</w:t>
            </w:r>
          </w:p>
        </w:tc>
      </w:tr>
      <w:tr w14:paraId="0386B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36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D6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lang w:val="en-US" w:eastAsia="zh-CN" w:bidi="ar"/>
              </w:rPr>
              <w:t>分局</w:t>
            </w:r>
            <w:r>
              <w:rPr>
                <w:rStyle w:val="9"/>
                <w:rFonts w:eastAsia="等线"/>
                <w:lang w:val="en-US" w:eastAsia="zh-CN" w:bidi="ar"/>
              </w:rPr>
              <w:t>AF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B08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1、网络层大包吞吐量≥18G，IPS吞吐量≥3.5G，AV吞吐量≥3.5G，最大并发连接数≥400万，最大新建连接数≥16万，全威胁吞吐量≥3G，全威胁+WAF吞吐量≥1.1G，IPSec VPN吞吐量≥1G。规格：1U，内存大小≥8G，硬盘容量≥128G SSD，接口≥6千兆电口。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2、支持对不少于9000种应用的识别和控制，应用类型包括游戏、购物、图书百科、工作招聘、P2P下载、聊天工具、旅游出行、股票软件等类型应用进行检测与控制。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3、具备独立的勒索病毒防护模块，非普通防病毒功能，支持对特定的业务进行勒索风险自动化评估，并依据评估结果自动生成防护策略。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4、支持僵尸主机检测功能，产品内置僵尸网络特征库超过120万种，可识别主机的异常外联行为。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5、支持策略生命周期管理功能，支持对安全策略修改的时间、原因、变更类型进行统一管理，便于策略的运维与管理。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6、支持云威胁情报网关技术，实现对威胁流量就近进行实时检测和拦截，实现失陷外联实时阻断，保护资产安全。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7、支持异常数据包攻击防御，防护类型包括IP数据块分片传输防护、Teardrop攻击防护、Smurf攻击防护、Land攻击防护、WinNuke攻击防护等攻击类型。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8、内置不低于16000种漏洞规则，同时支持在控制台界面通过漏洞ID、漏洞名称、危险等级、漏洞CVE标识、漏洞描述等条件查询漏洞特征信息，支持用户自定义IPS规则。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93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97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4D6B1">
            <w:pPr>
              <w:jc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02DC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BB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38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lang w:val="en-US" w:eastAsia="zh-CN" w:bidi="ar"/>
              </w:rPr>
              <w:t>分局</w:t>
            </w:r>
            <w:r>
              <w:rPr>
                <w:rStyle w:val="9"/>
                <w:rFonts w:eastAsia="等线"/>
                <w:lang w:val="en-US" w:eastAsia="zh-CN" w:bidi="ar"/>
              </w:rPr>
              <w:t xml:space="preserve"> AC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F68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1、网络层吞吐量≥3.6Gb，应用层吞吐量≥450Mb，带宽性能≥300Mb，支持用户数：1500，每秒新建连接数≥4000，最大并发连接数≥150000。规格：1U，内存大小≥8G，硬盘容量≥480G SSD，接口≥6千兆电口。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支持首页显示在线用户、流量分析、行为日志分析、应用流量排名、用户流量排名、资产类型分布、新设备发现趋势、TOP违规检查项、TOP违规用户、行为风险分析包括：泄密风险、终端接入、上网安全、系统状态、接入状态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3、支持在设置流量策略后，根据整体线路或者某流量通道内的空闲情况，自动启用和停止使用流量控制策略，以提升带宽的高使用率，线路空闲值可自定义。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设备内置应用识别规则库，支持超过9000种以上应用规则数、支持超过6000种以上的应用；支持根据标签选择应用，并支持给每个应用自定义标签；支持根据标签选择一类应用做控制；支持超过900种主流Saas应用，对Saas应用有默认分类标签，帮助客户统一配置策略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5、支持SSL中间人解密和客户端解密，确保数据传输的透明性与安全性。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6、支持SSL加密网页的内容检查，可对SSL加密网页进行解密并识别、过滤其内容，针对加密后的钓鱼网站、非法网站，可对用户进行重定向告警。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自动发现网络里面的终端，并获取IP、Mac、厂商、操作系统等信息，设备支持常见PC、移动设备、哑终端、专用设备的发现和型号识别：至少支持Windows、Linux、MAC、瘦客户机等PC；至少支持手机、平板等移动设备；至少支持服务器、交换机、无线控制器等网络设备；至少支持打印机、投影仪、电视、摄像头、门禁系统等哑终端；支持自定义终端类型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A3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52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E1C91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2C1F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97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E2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蛇口站AF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BBA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1、网络层大包吞吐量≥4G，IPS吞吐量≥600M，AV吞吐量≥600M，最大并发连接数≥200万，最大新建连接数≥4.5万，全威胁吞吐量≥400M，全威胁+WAF吞吐量≥250M，IPSec VPN吞吐量≥500M。规格：1U，内存大小≥8G，硬盘容量≥128G SSD，接口≥6千兆电口。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2、支持对不少于9000种应用的识别和控制，应用类型包括游戏、购物、图书百科、工作招聘、P2P下载、聊天工具、旅游出行、股票软件等类型应用进行检测与控制。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3、具备独立的勒索病毒防护模块，非普通防病毒功能，支持对特定的业务进行勒索风险自动化评估，并依据评估结果自动生成防护策略。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4、支持僵尸主机检测功能，产品内置僵尸网络特征库超过120万种，可识别主机的异常外联行为。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5、支持策略生命周期管理功能，支持对安全策略修改的时间、原因、变更类型进行统一管理，便于策略的运维与管理。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6、支持云威胁情报网关技术，实现对威胁流量就近进行实时检测和拦截，实现失陷外联实时阻断，保护资产安全。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18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34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7635C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CA5E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F9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B7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蛇口站AC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11C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1、网络层吞吐量≥2Gb，应用层吞吐量≥150Mb，带宽性能≥100Mb，支持用户数≥500，每秒新建连接数≥1000，最大并发连接数≥50000。规格：1U，内存大小≥8G，硬盘容量≥128G SSD，接口≥6千兆电口。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支持首页显示在线用户、流量分析、行为日志分析、应用流量排名、用户流量排名、资产类型分布、新设备发现趋势、TOP违规检查项、TOP违规用户、行为风险分析包括：泄密风险、终端接入、上网安全、系统状态、接入状态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3、支持在设置流量策略后，根据整体线路或者某流量通道内的空闲情况，自动启用和停止使用流量控制策略，以提升带宽的高使用率，线路空闲值可自定义。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设备内置应用识别规则库，支持超过9000种以上应用规则数、支持超过6000种以上的应用；支持根据标签选择应用，并支持给每个应用自定义标签；支持根据标签选择一类应用做控制；支持超过900种主流Saas应用，对Saas应用有默认分类标签，帮助客户统一配置策略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5、支持SSL中间人解密和客户端解密，确保数据传输的透明性与安全性。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6、支持SSL加密网页的内容检查，可对SSL加密网页进行解密并识别、过滤其内容，针对加密后的钓鱼网站、非法网站，可对用户进行重定向告警。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自动发现网络里面的终端，并获取IP、Mac、厂商、操作系统等信息，设备支持常见PC、移动设备、哑终端、专用设备的发现和型号识别：至少支持Windows、Linux、MAC、瘦客户机等PC；至少支持手机、平板等移动设备；至少支持服务器、交换机、无线控制器等网络设备；至少支持打印机、投影仪、电视、摄像头、门禁系统等哑终端；支持自定义终端类型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B4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14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FA646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8243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276AA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02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合计金额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D1A6E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F0C1A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5B42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02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8B7C8DA">
      <w:pPr>
        <w:pStyle w:val="3"/>
        <w:rPr>
          <w:rFonts w:hint="eastAsia" w:eastAsia="宋体"/>
          <w:i w:val="0"/>
          <w:iCs w:val="0"/>
          <w:sz w:val="21"/>
          <w:szCs w:val="21"/>
          <w:lang w:val="en-US" w:eastAsia="zh-CN"/>
        </w:rPr>
      </w:pPr>
      <w:r>
        <w:rPr>
          <w:rFonts w:hint="eastAsia"/>
          <w:i w:val="0"/>
          <w:iCs w:val="0"/>
          <w:sz w:val="21"/>
          <w:szCs w:val="21"/>
          <w:lang w:val="en-US" w:eastAsia="zh-CN"/>
        </w:rPr>
        <w:t>备注：包含全新原厂硬件、三年软件规则库升级、设备上架部署、网络割接、策略迁移优化、调试验收、操作培训、三年原厂整机质保及 7×24 小时技术运维服务。</w:t>
      </w:r>
    </w:p>
    <w:p w14:paraId="6F5DCF03"/>
    <w:sectPr>
      <w:footerReference r:id="rId3" w:type="default"/>
      <w:pgSz w:w="11906" w:h="16838"/>
      <w:pgMar w:top="1440" w:right="1800" w:bottom="1440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1697E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8D156D1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M6pebnPAAAABQEAAA8AAAAAAAAA&#10;AQAgAAAAIgAAAGRycy9kb3ducmV2LnhtbFBLAQIUABQAAAAIAIdO4kDesQ8x4QEAAMwDAAAOAAAA&#10;AAAAAAEAIAAAAB4BAABkcnMvZTJvRG9jLnhtbFBLBQYAAAAABgAGAFkBAABx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8D156D1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4F3D30"/>
    <w:rsid w:val="2A4F3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Title"/>
    <w:basedOn w:val="1"/>
    <w:next w:val="1"/>
    <w:qFormat/>
    <w:uiPriority w:val="0"/>
    <w:pPr>
      <w:widowControl w:val="0"/>
      <w:spacing w:before="240" w:after="60" w:line="276" w:lineRule="auto"/>
      <w:jc w:val="center"/>
      <w:outlineLvl w:val="0"/>
    </w:pPr>
    <w:rPr>
      <w:rFonts w:ascii="Cambria" w:hAnsi="Cambria"/>
      <w:b/>
      <w:bCs/>
      <w:kern w:val="2"/>
      <w:sz w:val="32"/>
      <w:szCs w:val="32"/>
      <w:lang w:val="en-US" w:eastAsia="zh-CN" w:bidi="ar-SA"/>
    </w:rPr>
  </w:style>
  <w:style w:type="character" w:customStyle="1" w:styleId="8">
    <w:name w:val="font31"/>
    <w:basedOn w:val="7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9">
    <w:name w:val="font41"/>
    <w:basedOn w:val="7"/>
    <w:qFormat/>
    <w:uiPriority w:val="0"/>
    <w:rPr>
      <w:rFonts w:hint="default" w:ascii="Arial" w:hAnsi="Arial" w:cs="Arial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2026-08-19T09:21:00Z</dcterms:created>
  <dc:creator>曉曉</dc:creator>
  <cp:lastModifiedBy>曉曉</cp:lastModifiedBy>
  <dcterms:modified xsi:type="dcterms:W3CDTF">2026-08-19T09:22:53Z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61B6533898E648B594C20889010123B1_11</vt:lpwstr>
  </property>
  <property fmtid="{D5CDD505-2E9C-101B-9397-08002B2CF9AE}" pid="4" name="KSOTemplateDocerSaveRecord">
    <vt:lpwstr>eyJoZGlkIjoiMWM3MmQyOTMxZWVhMjhiM2JlMzBhZDQyNDQ2NzA0ZGQiLCJ1c2VySWQiOiIxMDg4MDI2Mjc0In0=</vt:lpwstr>
  </property>
</Properties>
</file>